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numPr>
          <w:ilvl w:val="0"/>
          <w:numId w:val="1"/>
        </w:numPr>
        <w:pBdr>
          <w:top w:space="0" w:sz="0" w:val="nil"/>
          <w:left w:space="0" w:sz="0" w:val="nil"/>
          <w:bottom w:space="0" w:sz="0" w:val="nil"/>
          <w:right w:space="0" w:sz="0" w:val="nil"/>
          <w:between w:space="0" w:sz="0" w:val="nil"/>
        </w:pBdr>
        <w:tabs>
          <w:tab w:val="left" w:pos="2160"/>
        </w:tabs>
        <w:spacing w:after="240" w:lineRule="auto"/>
        <w:ind w:left="0" w:firstLine="0"/>
        <w:jc w:val="center"/>
        <w:rPr/>
      </w:pPr>
      <w:bookmarkStart w:colFirst="0" w:colLast="0" w:name="_gjdgxs" w:id="0"/>
      <w:bookmarkEnd w:id="0"/>
      <w:r w:rsidDel="00000000" w:rsidR="00000000" w:rsidRPr="00000000">
        <w:rPr>
          <w:b w:val="1"/>
          <w:color w:val="000000"/>
          <w:rtl w:val="0"/>
        </w:rPr>
        <w:t xml:space="preserve">V</w:t>
      </w:r>
      <w:r w:rsidDel="00000000" w:rsidR="00000000" w:rsidRPr="00000000">
        <w:rPr>
          <w:b w:val="1"/>
          <w:color w:val="000000"/>
          <w:rtl w:val="0"/>
        </w:rPr>
        <w:t xml:space="preserve">ALUE FOR MONEY PROVISIONS</w:t>
      </w:r>
      <w:r w:rsidDel="00000000" w:rsidR="00000000" w:rsidRPr="00000000">
        <w:rPr>
          <w:rtl w:val="0"/>
        </w:rPr>
      </w:r>
    </w:p>
    <w:p w:rsidR="00000000" w:rsidDel="00000000" w:rsidP="00000000" w:rsidRDefault="00000000" w:rsidRPr="00000000" w14:paraId="00000002">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b w:val="1"/>
          <w:color w:val="000000"/>
          <w:rtl w:val="0"/>
        </w:rPr>
        <w:t xml:space="preserve">BACKGROUND</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40" w:line="360" w:lineRule="auto"/>
        <w:ind w:left="851" w:hanging="851"/>
        <w:rPr>
          <w:color w:val="000000"/>
        </w:rPr>
      </w:pPr>
      <w:r w:rsidDel="00000000" w:rsidR="00000000" w:rsidRPr="00000000">
        <w:rPr>
          <w:color w:val="000000"/>
          <w:rtl w:val="0"/>
        </w:rPr>
        <w:t xml:space="preserve">The Supplier acknowledges that the Authority wishes to ensure that the Services represent value for money to the taxpayer throughout the Term of this Framework Agreement.  </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b w:val="1"/>
          <w:color w:val="000000"/>
          <w:rtl w:val="0"/>
        </w:rPr>
        <w:t xml:space="preserve">MOST FAVOURED CUSTOMER</w:t>
      </w:r>
      <w:r w:rsidDel="00000000" w:rsidR="00000000" w:rsidRPr="00000000">
        <w:rPr>
          <w:rtl w:val="0"/>
        </w:rPr>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Supplier undertakes that when dealing with its Contracted Customers and Prospective Customers from time to time it shall not discriminate against the Authority or any Contracted Customer. In particular the Supplier shall not during the Term enter into a contract with any other customer for the provision of services substantially similar to the Services at prices or other terms and conditions which, taken together, are more favourable to that customer than those available under this Framework Agreement ("</w:t>
      </w:r>
      <w:r w:rsidDel="00000000" w:rsidR="00000000" w:rsidRPr="00000000">
        <w:rPr>
          <w:b w:val="1"/>
          <w:color w:val="000000"/>
          <w:rtl w:val="0"/>
        </w:rPr>
        <w:t xml:space="preserve">Preferable Terms</w:t>
      </w:r>
      <w:r w:rsidDel="00000000" w:rsidR="00000000" w:rsidRPr="00000000">
        <w:rPr>
          <w:color w:val="000000"/>
          <w:rtl w:val="0"/>
        </w:rPr>
        <w:t xml:space="preserve">"), unless it first offers to provide those Preferable Terms to the Authority. Upon request by the Authority, the Supplier will provide the Authority with such details (anonymised as necessary) as the Authority may reasonably require in order to establish the Supplier's compliance with this Paragraph 2.</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If the Supplier discriminates against the Authority or a Contracted Customer by failing to provide the Authority or the relevant Customer with the benefit of Preferable Terms the Authority shall be entitled to escalate the matter for resolution in accordance with Clause 16, provided that if the matter is not resolved by the Authority Representative and the Supplier Representative within ten (10) Working Days of escalation to them pursuant to that Clause, the Authority shall be entitled to terminate this Framework Agreement pursuant to Clause 14.19.</w:t>
      </w: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spacing w:after="240" w:line="360" w:lineRule="auto"/>
        <w:ind w:left="1004" w:hanging="1004"/>
        <w:rPr/>
      </w:pPr>
      <w:r w:rsidDel="00000000" w:rsidR="00000000" w:rsidRPr="00000000">
        <w:rPr>
          <w:b w:val="1"/>
          <w:color w:val="000000"/>
          <w:rtl w:val="0"/>
        </w:rPr>
        <w:t xml:space="preserve">BENCHMARKING</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Authority may benchmark Charges and specific Customer Contracts regularly during the Term in order to compare the Charges with charges offered by third parties.</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Authority shall be entitled to use any model to determine the achievement of value for money to carry out the benchmarking evaluation referred to in Paragraph 3.1.</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Authority shall be entitled to publish the results of any benchmarking of the Charges to Other Contracting Bodies.</w:t>
      </w: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Supplier shall use all reasonable endeavours and act in good faith to supply information required by the Authority in order to undertake the benchmarking referred to in this Paragraph 3, such information requirements to be at the discretion of the Authority.  </w:t>
      </w:r>
      <w:r w:rsidDel="00000000" w:rsidR="00000000" w:rsidRPr="00000000">
        <w:rPr>
          <w:rtl w:val="0"/>
        </w:rPr>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b w:val="1"/>
          <w:color w:val="000000"/>
          <w:rtl w:val="0"/>
        </w:rPr>
        <w:t xml:space="preserve">CONTINUOUS IMPROVEMENT</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Supplier shall adopt a policy of continuous improvement in relation to the Services pursuant to which it will regularly review with the Authority the Services and the manner in which it is providing the Services with a view to reducing the Authority’s costs (including the Charges) and/or improving the quality and efficiency of the Services.  The Supplier and the Authority will provide to each other any information which may be relevant to assisting the objectives of continuous improvement and in particular reducing costs.</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Without limiting the Supplier’s obligations under Paragraph 4.1 the Supplier shall produce within six (6) Months: </w:t>
      </w:r>
      <w:r w:rsidDel="00000000" w:rsidR="00000000" w:rsidRPr="00000000">
        <w:rPr>
          <w:rtl w:val="0"/>
        </w:rPr>
      </w:r>
    </w:p>
    <w:p w:rsidR="00000000" w:rsidDel="00000000" w:rsidP="00000000" w:rsidRDefault="00000000" w:rsidRPr="00000000" w14:paraId="0000000F">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of the Commencement Date; and </w:t>
      </w:r>
      <w:r w:rsidDel="00000000" w:rsidR="00000000" w:rsidRPr="00000000">
        <w:rPr>
          <w:rtl w:val="0"/>
        </w:rPr>
      </w:r>
    </w:p>
    <w:p w:rsidR="00000000" w:rsidDel="00000000" w:rsidP="00000000" w:rsidRDefault="00000000" w:rsidRPr="00000000" w14:paraId="00000010">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the start of the second and each following Contract Year, </w:t>
      </w:r>
      <w:r w:rsidDel="00000000" w:rsidR="00000000" w:rsidRPr="00000000">
        <w:rPr>
          <w:rtl w:val="0"/>
        </w:rPr>
      </w:r>
    </w:p>
    <w:p w:rsidR="00000000" w:rsidDel="00000000" w:rsidP="00000000" w:rsidRDefault="00000000" w:rsidRPr="00000000" w14:paraId="00000011">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a plan for improving the supply of Services and reducing the Charges (without adversely affecting the performance of the Framework Agreement or any Customer Contract) during that Year for Approval. Such plan shall include, as a minimum, proposals:</w:t>
      </w:r>
      <w:r w:rsidDel="00000000" w:rsidR="00000000" w:rsidRPr="00000000">
        <w:rPr>
          <w:rtl w:val="0"/>
        </w:rPr>
      </w:r>
    </w:p>
    <w:p w:rsidR="00000000" w:rsidDel="00000000" w:rsidP="00000000" w:rsidRDefault="00000000" w:rsidRPr="00000000" w14:paraId="00000012">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identifying the emergence of new and evolving technologies which could improve the Ancillary Services;</w:t>
      </w:r>
      <w:r w:rsidDel="00000000" w:rsidR="00000000" w:rsidRPr="00000000">
        <w:rPr>
          <w:rtl w:val="0"/>
        </w:rPr>
      </w:r>
    </w:p>
    <w:p w:rsidR="00000000" w:rsidDel="00000000" w:rsidP="00000000" w:rsidRDefault="00000000" w:rsidRPr="00000000" w14:paraId="00000013">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to improve the way in which the Ancillary Services are sold via the framework agreement that may result in reduced Charges;</w:t>
      </w:r>
      <w:r w:rsidDel="00000000" w:rsidR="00000000" w:rsidRPr="00000000">
        <w:rPr>
          <w:rtl w:val="0"/>
        </w:rPr>
      </w:r>
    </w:p>
    <w:p w:rsidR="00000000" w:rsidDel="00000000" w:rsidP="00000000" w:rsidRDefault="00000000" w:rsidRPr="00000000" w14:paraId="00000014">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to identify and implement efficiencies in the Supplier’s internal processes and administration that may lead to cost savings and reductions in the Charges;</w:t>
      </w:r>
      <w:r w:rsidDel="00000000" w:rsidR="00000000" w:rsidRPr="00000000">
        <w:rPr>
          <w:rtl w:val="0"/>
        </w:rPr>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to identify and implement efficiencies in the way the Authority and/or a Customer interacts with the Supplier that may lead to cost savings and reductions in the Charges;</w:t>
      </w:r>
      <w:r w:rsidDel="00000000" w:rsidR="00000000" w:rsidRPr="00000000">
        <w:rPr>
          <w:rtl w:val="0"/>
        </w:rPr>
      </w:r>
    </w:p>
    <w:p w:rsidR="00000000" w:rsidDel="00000000" w:rsidP="00000000" w:rsidRDefault="00000000" w:rsidRPr="00000000" w14:paraId="00000016">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to identify and implement efficiencies in the Supplier’s supply chain that may lead to cost savings and reductions in the Charges for the Ancillary Services; and</w:t>
      </w:r>
      <w:r w:rsidDel="00000000" w:rsidR="00000000" w:rsidRPr="00000000">
        <w:rPr>
          <w:rtl w:val="0"/>
        </w:rPr>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spacing w:after="240" w:line="360" w:lineRule="auto"/>
        <w:ind w:left="1713" w:hanging="720"/>
        <w:rPr/>
      </w:pPr>
      <w:r w:rsidDel="00000000" w:rsidR="00000000" w:rsidRPr="00000000">
        <w:rPr>
          <w:color w:val="000000"/>
          <w:rtl w:val="0"/>
        </w:rPr>
        <w:t xml:space="preserve">to measure and manage the sustainability impacts of the Supplier’s operations and supply-chains pertaining to the Services, and to identify opportunities to assist Customers in meeting their sustainability objectives.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Authority shall notify the Supplier of its approval or rejection of the proposed plan, or any updates to it, within twenty (20) Working Days of receipt. Within ten (10) Working Days of receipt of any notice of rejection, the Supplier shall submit to the Authority a revised plan reflecting the changes required. Once Approved, by the Authority, the plan shall constitute the ("</w:t>
      </w:r>
      <w:r w:rsidDel="00000000" w:rsidR="00000000" w:rsidRPr="00000000">
        <w:rPr>
          <w:b w:val="1"/>
          <w:color w:val="000000"/>
          <w:rtl w:val="0"/>
        </w:rPr>
        <w:t xml:space="preserve">Continuous Improvement Plan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Supplier shall adhere to, implement and perform the Continuous Improvement Plan. </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Should the Supplier's costs in providing the Services to the Authority be reduced as a result of any changes implemented by the Authority, all of the cost savings shall be passed on to the Authority pursuant to a change under Schedule 14.</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360" w:lineRule="auto"/>
        <w:ind w:left="720" w:hanging="720"/>
        <w:rPr>
          <w:color w:val="000000"/>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76" w:lineRule="auto"/>
        <w:jc w:val="left"/>
        <w:rPr>
          <w:color w:val="000000"/>
        </w:rPr>
        <w:sectPr>
          <w:headerReference r:id="rId6" w:type="default"/>
          <w:headerReference r:id="rId7" w:type="first"/>
          <w:footerReference r:id="rId8" w:type="default"/>
          <w:pgSz w:h="16838" w:w="11906"/>
          <w:pgMar w:bottom="1440" w:top="1440" w:left="1440" w:right="1440" w:header="709" w:footer="709"/>
          <w:pgNumType w:start="1"/>
        </w:sectPr>
      </w:pPr>
      <w:bookmarkStart w:colFirst="0" w:colLast="0" w:name="_30j0zll" w:id="1"/>
      <w:bookmarkEnd w:id="1"/>
      <w:r w:rsidDel="00000000" w:rsidR="00000000" w:rsidRPr="00000000">
        <w:rPr>
          <w:rtl w:val="0"/>
        </w:rPr>
      </w:r>
    </w:p>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tabs>
          <w:tab w:val="left" w:pos="2160"/>
        </w:tabs>
        <w:spacing w:after="240" w:lineRule="auto"/>
        <w:rPr>
          <w:color w:val="000000"/>
        </w:rPr>
      </w:pPr>
      <w:bookmarkStart w:colFirst="0" w:colLast="0" w:name="_1fob9te" w:id="2"/>
      <w:bookmarkEnd w:id="2"/>
      <w:r w:rsidDel="00000000" w:rsidR="00000000" w:rsidRPr="00000000">
        <w:rPr>
          <w:rtl w:val="0"/>
        </w:rPr>
      </w:r>
    </w:p>
    <w:sectPr>
      <w:type w:val="continuous"/>
      <w:pgSz w:h="16838" w:w="11906"/>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bottom w:color="000000" w:space="1" w:sz="6" w:val="single"/>
      </w:pBdr>
      <w:jc w:val="center"/>
      <w:rPr/>
    </w:pPr>
    <w:r w:rsidDel="00000000" w:rsidR="00000000" w:rsidRPr="00000000">
      <w:rPr>
        <w:rtl w:val="0"/>
      </w:rPr>
      <w:t xml:space="preserve">FRAMEWORK AGREEMENT FOR THE SUPPLY ENERGY AND ANCILLARY SERVICES</w:t>
    </w:r>
  </w:p>
  <w:p w:rsidR="00000000" w:rsidDel="00000000" w:rsidP="00000000" w:rsidRDefault="00000000" w:rsidRPr="00000000" w14:paraId="0000001F">
    <w:pPr>
      <w:pBdr>
        <w:bottom w:color="000000" w:space="1" w:sz="6" w:val="single"/>
      </w:pBdr>
      <w:jc w:val="center"/>
      <w:rPr/>
    </w:pPr>
    <w:r w:rsidDel="00000000" w:rsidR="00000000" w:rsidRPr="00000000">
      <w:rPr>
        <w:rtl w:val="0"/>
      </w:rPr>
    </w:r>
  </w:p>
  <w:p w:rsidR="00000000" w:rsidDel="00000000" w:rsidP="00000000" w:rsidRDefault="00000000" w:rsidRPr="00000000" w14:paraId="00000020">
    <w:pPr>
      <w:pBdr>
        <w:bottom w:color="000000" w:space="1" w:sz="6" w:val="single"/>
      </w:pBdr>
      <w:jc w:val="right"/>
      <w:rPr/>
    </w:pPr>
    <w:r w:rsidDel="00000000" w:rsidR="00000000" w:rsidRPr="00000000">
      <w:rPr>
        <w:color w:val="000000"/>
        <w:rtl w:val="0"/>
      </w:rPr>
      <w:t xml:space="preserve">Lot </w:t>
    </w:r>
    <w:r w:rsidDel="00000000" w:rsidR="00000000" w:rsidRPr="00000000">
      <w:rPr>
        <w:rtl w:val="0"/>
      </w:rPr>
      <w:t xml:space="preserve">3</w:t>
    </w:r>
    <w:r w:rsidDel="00000000" w:rsidR="00000000" w:rsidRPr="00000000">
      <w:rPr>
        <w:color w:val="000000"/>
        <w:rtl w:val="0"/>
      </w:rPr>
      <w:t xml:space="preserve"> Gas - Schedule 13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bottom w:color="000000" w:space="1" w:sz="6" w:val="single"/>
      </w:pBdr>
      <w:jc w:val="center"/>
      <w:rPr/>
    </w:pPr>
    <w:r w:rsidDel="00000000" w:rsidR="00000000" w:rsidRPr="00000000">
      <w:rPr>
        <w:rtl w:val="0"/>
      </w:rPr>
      <w:t xml:space="preserve">FRAMEWORK AGREEMENT FOR THE SUPPLY ENERGY AND ANCILLARY SERVICES</w:t>
    </w:r>
  </w:p>
  <w:p w:rsidR="00000000" w:rsidDel="00000000" w:rsidP="00000000" w:rsidRDefault="00000000" w:rsidRPr="00000000" w14:paraId="00000024">
    <w:pPr>
      <w:pBdr>
        <w:bottom w:color="000000" w:space="1" w:sz="6" w:val="single"/>
      </w:pBd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3"/>
      <w:numFmt w:val="decimal"/>
      <w:lvlText w:val="Schedule %1 - "/>
      <w:lvlJc w:val="left"/>
      <w:pPr>
        <w:ind w:left="0" w:firstLine="0"/>
      </w:pPr>
      <w:rPr>
        <w:smallCaps w:val="1"/>
      </w:rPr>
    </w:lvl>
    <w:lvl w:ilvl="1">
      <w:start w:val="1"/>
      <w:numFmt w:val="decimal"/>
      <w:lvlText w:val="%2"/>
      <w:lvlJc w:val="left"/>
      <w:pPr>
        <w:ind w:left="1004" w:hanging="720"/>
      </w:pPr>
      <w:rPr/>
    </w:lvl>
    <w:lvl w:ilvl="2">
      <w:start w:val="1"/>
      <w:numFmt w:val="decimal"/>
      <w:lvlText w:val="%2.%3"/>
      <w:lvlJc w:val="left"/>
      <w:pPr>
        <w:ind w:left="720" w:hanging="720"/>
      </w:pPr>
      <w:rPr>
        <w:b w:val="0"/>
      </w:rPr>
    </w:lvl>
    <w:lvl w:ilvl="3">
      <w:start w:val="1"/>
      <w:numFmt w:val="decimal"/>
      <w:lvlText w:val="%2.%3.%4"/>
      <w:lvlJc w:val="left"/>
      <w:pPr>
        <w:ind w:left="1713" w:hanging="719"/>
      </w:pPr>
      <w:rPr/>
    </w:lvl>
    <w:lvl w:ilvl="4">
      <w:start w:val="1"/>
      <w:numFmt w:val="lowerLetter"/>
      <w:lvlText w:val="(%5)"/>
      <w:lvlJc w:val="left"/>
      <w:pPr>
        <w:ind w:left="2880" w:hanging="720"/>
      </w:pPr>
      <w:rPr/>
    </w:lvl>
    <w:lvl w:ilvl="5">
      <w:start w:val="1"/>
      <w:numFmt w:val="lowerRoman"/>
      <w:lvlText w:val="(%6)"/>
      <w:lvlJc w:val="left"/>
      <w:pPr>
        <w:ind w:left="3600" w:hanging="720"/>
      </w:pPr>
      <w:rPr/>
    </w:lvl>
    <w:lvl w:ilvl="6">
      <w:start w:val="1"/>
      <w:numFmt w:val="decimal"/>
      <w:lvlText w:val=""/>
      <w:lvlJc w:val="left"/>
      <w:pPr>
        <w:ind w:left="5957" w:hanging="851"/>
      </w:pPr>
      <w:rPr/>
    </w:lvl>
    <w:lvl w:ilvl="7">
      <w:start w:val="1"/>
      <w:numFmt w:val="decimal"/>
      <w:lvlText w:val=""/>
      <w:lvlJc w:val="left"/>
      <w:pPr>
        <w:ind w:left="6808" w:hanging="851.0000000000009"/>
      </w:pPr>
      <w:rPr/>
    </w:lvl>
    <w:lvl w:ilvl="8">
      <w:start w:val="1"/>
      <w:numFmt w:val="decimal"/>
      <w:lvlText w:val=""/>
      <w:lvlJc w:val="left"/>
      <w:pPr>
        <w:ind w:left="7659" w:hanging="851"/>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360" w:lineRule="auto"/>
    </w:pPr>
    <w:rPr>
      <w:b w:val="1"/>
      <w:u w:val="single"/>
    </w:rPr>
  </w:style>
  <w:style w:type="paragraph" w:styleId="Heading2">
    <w:name w:val="heading 2"/>
    <w:basedOn w:val="Normal"/>
    <w:next w:val="Normal"/>
    <w:pPr>
      <w:keepNext w:val="1"/>
      <w:keepLines w:val="1"/>
      <w:spacing w:after="240" w:line="360" w:lineRule="auto"/>
    </w:pPr>
    <w:rPr>
      <w:b w:val="1"/>
    </w:rPr>
  </w:style>
  <w:style w:type="paragraph" w:styleId="Heading3">
    <w:name w:val="heading 3"/>
    <w:basedOn w:val="Normal"/>
    <w:next w:val="Normal"/>
    <w:pPr>
      <w:keepNext w:val="1"/>
      <w:keepLines w:val="1"/>
      <w:spacing w:before="200" w:line="360" w:lineRule="auto"/>
    </w:pPr>
    <w:rPr>
      <w:rFonts w:ascii="Trebuchet MS" w:cs="Trebuchet MS" w:eastAsia="Trebuchet MS" w:hAnsi="Trebuchet MS"/>
      <w:b w:val="1"/>
    </w:rPr>
  </w:style>
  <w:style w:type="paragraph" w:styleId="Heading4">
    <w:name w:val="heading 4"/>
    <w:basedOn w:val="Normal"/>
    <w:next w:val="Normal"/>
    <w:pPr>
      <w:spacing w:after="240" w:line="360" w:lineRule="auto"/>
    </w:pPr>
    <w:rPr/>
  </w:style>
  <w:style w:type="paragraph" w:styleId="Heading5">
    <w:name w:val="heading 5"/>
    <w:basedOn w:val="Normal"/>
    <w:next w:val="Normal"/>
    <w:pPr>
      <w:spacing w:after="240" w:line="360" w:lineRule="auto"/>
    </w:pPr>
    <w:rPr/>
  </w:style>
  <w:style w:type="paragraph" w:styleId="Heading6">
    <w:name w:val="heading 6"/>
    <w:basedOn w:val="Normal"/>
    <w:next w:val="Normal"/>
    <w:pPr>
      <w:keepNext w:val="1"/>
      <w:keepLines w:val="1"/>
      <w:spacing w:before="200" w:line="360" w:lineRule="auto"/>
    </w:pPr>
    <w:rPr>
      <w:rFonts w:ascii="Trebuchet MS" w:cs="Trebuchet MS" w:eastAsia="Trebuchet MS" w:hAnsi="Trebuchet MS"/>
      <w:i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